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01" w:rsidRDefault="00E24D01" w:rsidP="00E110ED">
      <w:pPr>
        <w:jc w:val="right"/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20F0FD6E" wp14:editId="583717C3">
            <wp:simplePos x="0" y="0"/>
            <wp:positionH relativeFrom="column">
              <wp:posOffset>-537210</wp:posOffset>
            </wp:positionH>
            <wp:positionV relativeFrom="paragraph">
              <wp:posOffset>-442595</wp:posOffset>
            </wp:positionV>
            <wp:extent cx="2533650" cy="80352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077" cy="803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0ED">
        <w:t>Lima, 07 de mayo de 2018</w:t>
      </w:r>
    </w:p>
    <w:p w:rsidR="00E24D01" w:rsidRDefault="00E24D01"/>
    <w:p w:rsidR="00E24D01" w:rsidRDefault="00E24D01" w:rsidP="00E24D01">
      <w:pPr>
        <w:jc w:val="both"/>
        <w:rPr>
          <w:sz w:val="28"/>
          <w:szCs w:val="28"/>
        </w:rPr>
      </w:pPr>
    </w:p>
    <w:p w:rsidR="0005443F" w:rsidRPr="00293DC3" w:rsidRDefault="001C3035" w:rsidP="00E24D01">
      <w:pPr>
        <w:jc w:val="both"/>
        <w:rPr>
          <w:sz w:val="24"/>
          <w:szCs w:val="24"/>
        </w:rPr>
      </w:pPr>
      <w:r w:rsidRPr="00293DC3">
        <w:rPr>
          <w:sz w:val="24"/>
          <w:szCs w:val="24"/>
        </w:rPr>
        <w:t>Estimados Proveedores,</w:t>
      </w:r>
    </w:p>
    <w:p w:rsidR="001C3035" w:rsidRPr="00E24D01" w:rsidRDefault="001C3035" w:rsidP="00E24D01">
      <w:pPr>
        <w:jc w:val="both"/>
        <w:rPr>
          <w:sz w:val="28"/>
          <w:szCs w:val="28"/>
        </w:rPr>
      </w:pPr>
    </w:p>
    <w:p w:rsidR="00E24D01" w:rsidRPr="00293DC3" w:rsidRDefault="001C3035" w:rsidP="00E24D01">
      <w:pPr>
        <w:jc w:val="both"/>
        <w:rPr>
          <w:sz w:val="24"/>
          <w:szCs w:val="24"/>
        </w:rPr>
      </w:pPr>
      <w:r w:rsidRPr="00293DC3">
        <w:rPr>
          <w:sz w:val="24"/>
          <w:szCs w:val="24"/>
        </w:rPr>
        <w:t xml:space="preserve">Con la finalidad de mejorar la recepción de sus facturas, así como el registro oportuno para la programación de </w:t>
      </w:r>
      <w:r w:rsidR="00E110ED" w:rsidRPr="00293DC3">
        <w:rPr>
          <w:sz w:val="24"/>
          <w:szCs w:val="24"/>
        </w:rPr>
        <w:t xml:space="preserve">los </w:t>
      </w:r>
      <w:r w:rsidRPr="00293DC3">
        <w:rPr>
          <w:sz w:val="24"/>
          <w:szCs w:val="24"/>
        </w:rPr>
        <w:t>pago.</w:t>
      </w:r>
    </w:p>
    <w:p w:rsidR="00E110ED" w:rsidRPr="00293DC3" w:rsidRDefault="001C3035" w:rsidP="00E24D01">
      <w:pPr>
        <w:jc w:val="both"/>
        <w:rPr>
          <w:sz w:val="24"/>
          <w:szCs w:val="24"/>
        </w:rPr>
      </w:pPr>
      <w:r w:rsidRPr="00293DC3">
        <w:rPr>
          <w:sz w:val="24"/>
          <w:szCs w:val="24"/>
        </w:rPr>
        <w:t>Se les informa que a partir de la fecha las facturas, notas de crédito y notas de débito que nos envíen, ya sean físicas y/o virtuales deberán de cumplir con los siguientes requisitos: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7"/>
        <w:gridCol w:w="2683"/>
        <w:gridCol w:w="3508"/>
      </w:tblGrid>
      <w:tr w:rsidR="00E24D01" w:rsidRPr="00E24D01" w:rsidTr="00E24D01">
        <w:trPr>
          <w:trHeight w:val="259"/>
        </w:trPr>
        <w:tc>
          <w:tcPr>
            <w:tcW w:w="2977" w:type="dxa"/>
            <w:shd w:val="clear" w:color="auto" w:fill="1F497D" w:themeFill="text2"/>
          </w:tcPr>
          <w:p w:rsidR="00E24D01" w:rsidRPr="00E24D01" w:rsidRDefault="00E24D01" w:rsidP="00E24D01">
            <w:pPr>
              <w:jc w:val="center"/>
              <w:rPr>
                <w:b/>
                <w:color w:val="FFFFFF" w:themeColor="background1"/>
              </w:rPr>
            </w:pPr>
            <w:r w:rsidRPr="00E24D01">
              <w:rPr>
                <w:b/>
                <w:color w:val="FFFFFF" w:themeColor="background1"/>
              </w:rPr>
              <w:t>REQUISITOS</w:t>
            </w:r>
            <w:r>
              <w:rPr>
                <w:b/>
                <w:color w:val="FFFFFF" w:themeColor="background1"/>
              </w:rPr>
              <w:t xml:space="preserve"> PARA:</w:t>
            </w:r>
          </w:p>
        </w:tc>
        <w:tc>
          <w:tcPr>
            <w:tcW w:w="2977" w:type="dxa"/>
            <w:shd w:val="clear" w:color="auto" w:fill="1F497D" w:themeFill="text2"/>
          </w:tcPr>
          <w:p w:rsidR="00E24D01" w:rsidRPr="00E24D01" w:rsidRDefault="00E24D01" w:rsidP="00E24D01">
            <w:pPr>
              <w:jc w:val="center"/>
              <w:rPr>
                <w:b/>
                <w:color w:val="FFFFFF" w:themeColor="background1"/>
              </w:rPr>
            </w:pPr>
            <w:r w:rsidRPr="00E24D01">
              <w:rPr>
                <w:b/>
                <w:color w:val="FFFFFF" w:themeColor="background1"/>
              </w:rPr>
              <w:t>RECEPCIÓN FÍSICA</w:t>
            </w:r>
          </w:p>
        </w:tc>
        <w:tc>
          <w:tcPr>
            <w:tcW w:w="2978" w:type="dxa"/>
            <w:shd w:val="clear" w:color="auto" w:fill="1F497D" w:themeFill="text2"/>
          </w:tcPr>
          <w:p w:rsidR="00E24D01" w:rsidRDefault="00E24D01" w:rsidP="00E24D01">
            <w:pPr>
              <w:jc w:val="center"/>
              <w:rPr>
                <w:b/>
                <w:color w:val="FFFFFF" w:themeColor="background1"/>
              </w:rPr>
            </w:pPr>
            <w:r w:rsidRPr="00E24D01">
              <w:rPr>
                <w:b/>
                <w:color w:val="FFFFFF" w:themeColor="background1"/>
              </w:rPr>
              <w:t>RECEPCIÓN VIRTUAL</w:t>
            </w:r>
          </w:p>
          <w:p w:rsidR="00F61EF5" w:rsidRPr="00E24D01" w:rsidRDefault="00F61EF5" w:rsidP="00E24D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Único correo (recepcion.efacturas@quimtia.com)</w:t>
            </w:r>
          </w:p>
        </w:tc>
      </w:tr>
      <w:tr w:rsidR="00E24D01" w:rsidTr="00E24D01">
        <w:trPr>
          <w:trHeight w:val="1567"/>
        </w:trPr>
        <w:tc>
          <w:tcPr>
            <w:tcW w:w="2977" w:type="dxa"/>
          </w:tcPr>
          <w:p w:rsidR="00E24D01" w:rsidRDefault="00E24D01" w:rsidP="00E24D01">
            <w:pPr>
              <w:pStyle w:val="Ttulo1"/>
              <w:outlineLvl w:val="0"/>
            </w:pPr>
            <w:r>
              <w:t>Prestación de servicio</w:t>
            </w:r>
          </w:p>
        </w:tc>
        <w:tc>
          <w:tcPr>
            <w:tcW w:w="2977" w:type="dxa"/>
          </w:tcPr>
          <w:p w:rsidR="00E24D01" w:rsidRDefault="00E24D01" w:rsidP="00E110ED">
            <w:pPr>
              <w:pStyle w:val="Prrafodelista"/>
              <w:jc w:val="both"/>
            </w:pPr>
          </w:p>
          <w:p w:rsidR="00E110ED" w:rsidRDefault="00E110ED" w:rsidP="00E110ED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Factura.</w:t>
            </w:r>
          </w:p>
          <w:p w:rsidR="00E24D01" w:rsidRDefault="00E110ED" w:rsidP="00E110ED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Orden de servicio impresa </w:t>
            </w:r>
            <w:r w:rsidR="00E24D01">
              <w:t xml:space="preserve"> (4700…..)</w:t>
            </w:r>
          </w:p>
          <w:p w:rsidR="00E24D01" w:rsidRDefault="00E24D01" w:rsidP="00E110ED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HES impresa.</w:t>
            </w:r>
          </w:p>
        </w:tc>
        <w:tc>
          <w:tcPr>
            <w:tcW w:w="2978" w:type="dxa"/>
          </w:tcPr>
          <w:p w:rsidR="00E24D01" w:rsidRDefault="00E24D01" w:rsidP="00E110ED">
            <w:pPr>
              <w:pStyle w:val="Prrafodelista"/>
              <w:jc w:val="both"/>
            </w:pPr>
          </w:p>
          <w:p w:rsidR="00E24D01" w:rsidRDefault="00E24D01" w:rsidP="00E110ED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Indicar en la factura la orden de servicio.</w:t>
            </w:r>
          </w:p>
          <w:p w:rsidR="00E24D01" w:rsidRDefault="00E24D01" w:rsidP="00E110ED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Indicar n° de HES.</w:t>
            </w:r>
          </w:p>
        </w:tc>
      </w:tr>
      <w:tr w:rsidR="00E24D01" w:rsidTr="00E24D01">
        <w:trPr>
          <w:trHeight w:val="244"/>
        </w:trPr>
        <w:tc>
          <w:tcPr>
            <w:tcW w:w="2977" w:type="dxa"/>
          </w:tcPr>
          <w:p w:rsidR="00E24D01" w:rsidRDefault="00E24D01" w:rsidP="00E24D01">
            <w:pPr>
              <w:pStyle w:val="Ttulo1"/>
              <w:outlineLvl w:val="0"/>
            </w:pPr>
            <w:r>
              <w:t>Venta de Bienes</w:t>
            </w:r>
          </w:p>
        </w:tc>
        <w:tc>
          <w:tcPr>
            <w:tcW w:w="2977" w:type="dxa"/>
          </w:tcPr>
          <w:p w:rsidR="00E24D01" w:rsidRDefault="00E24D01" w:rsidP="00E110E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Factura.</w:t>
            </w:r>
          </w:p>
          <w:p w:rsidR="00E24D01" w:rsidRDefault="00E24D01" w:rsidP="00E110E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Guía de remisión.</w:t>
            </w:r>
          </w:p>
          <w:p w:rsidR="00E24D01" w:rsidRDefault="00E24D01" w:rsidP="00E110E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Orden de Compra impresa.</w:t>
            </w:r>
          </w:p>
        </w:tc>
        <w:tc>
          <w:tcPr>
            <w:tcW w:w="2978" w:type="dxa"/>
          </w:tcPr>
          <w:p w:rsidR="00E24D01" w:rsidRDefault="00E24D01" w:rsidP="00E110E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Indicar n° de la guía de remisión en la factura.</w:t>
            </w:r>
          </w:p>
          <w:p w:rsidR="00E24D01" w:rsidRDefault="00E24D01" w:rsidP="00E110ED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Indicar  n° de la orden de compra en la factura.</w:t>
            </w:r>
          </w:p>
          <w:p w:rsidR="00E110ED" w:rsidRPr="00E110ED" w:rsidRDefault="00E110ED" w:rsidP="00E110E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Nota: Si </w:t>
            </w:r>
            <w:r w:rsidRPr="00E110ED">
              <w:rPr>
                <w:b/>
                <w:u w:val="single"/>
              </w:rPr>
              <w:t>en la factura virtual no se puede indicar la GR, deberán de entregarnos en físico</w:t>
            </w:r>
            <w:r>
              <w:rPr>
                <w:b/>
                <w:u w:val="single"/>
              </w:rPr>
              <w:t xml:space="preserve"> la factura con su guía impresa.</w:t>
            </w:r>
          </w:p>
        </w:tc>
      </w:tr>
    </w:tbl>
    <w:p w:rsidR="00E24D01" w:rsidRPr="00E110ED" w:rsidRDefault="00E24D01">
      <w:pPr>
        <w:rPr>
          <w:sz w:val="24"/>
        </w:rPr>
      </w:pPr>
    </w:p>
    <w:p w:rsidR="001C3035" w:rsidRDefault="00E110ED">
      <w:pPr>
        <w:rPr>
          <w:b/>
          <w:i/>
          <w:sz w:val="24"/>
        </w:rPr>
      </w:pPr>
      <w:r w:rsidRPr="00E110ED">
        <w:rPr>
          <w:b/>
          <w:i/>
          <w:sz w:val="24"/>
        </w:rPr>
        <w:t xml:space="preserve">*Considerar que de no enviar la información solicitada no podremos </w:t>
      </w:r>
      <w:proofErr w:type="spellStart"/>
      <w:r w:rsidRPr="00E110ED">
        <w:rPr>
          <w:b/>
          <w:i/>
          <w:sz w:val="24"/>
        </w:rPr>
        <w:t>recepcionar</w:t>
      </w:r>
      <w:proofErr w:type="spellEnd"/>
      <w:r w:rsidRPr="00E110ED">
        <w:rPr>
          <w:b/>
          <w:i/>
          <w:sz w:val="24"/>
        </w:rPr>
        <w:t xml:space="preserve"> los </w:t>
      </w:r>
      <w:r w:rsidR="00FE7254">
        <w:rPr>
          <w:b/>
          <w:i/>
          <w:sz w:val="24"/>
        </w:rPr>
        <w:t>d</w:t>
      </w:r>
      <w:r w:rsidRPr="00E110ED">
        <w:rPr>
          <w:b/>
          <w:i/>
          <w:sz w:val="24"/>
        </w:rPr>
        <w:t>ocumentos.</w:t>
      </w:r>
    </w:p>
    <w:p w:rsidR="00293DC3" w:rsidRPr="00293DC3" w:rsidRDefault="00293DC3" w:rsidP="00FE7254">
      <w:pPr>
        <w:jc w:val="both"/>
        <w:rPr>
          <w:sz w:val="24"/>
          <w:szCs w:val="24"/>
        </w:rPr>
      </w:pPr>
      <w:r w:rsidRPr="00293DC3">
        <w:rPr>
          <w:sz w:val="24"/>
          <w:szCs w:val="24"/>
        </w:rPr>
        <w:t xml:space="preserve">Así mismo les hacemos recordar que la recepción de comprobantes físicos son los días lunes, miércoles </w:t>
      </w:r>
      <w:r w:rsidR="00F1534E">
        <w:rPr>
          <w:sz w:val="24"/>
          <w:szCs w:val="24"/>
        </w:rPr>
        <w:t xml:space="preserve">y viernes de 8:00 am a 1:00 </w:t>
      </w:r>
      <w:proofErr w:type="spellStart"/>
      <w:r w:rsidR="00F1534E">
        <w:rPr>
          <w:sz w:val="24"/>
          <w:szCs w:val="24"/>
        </w:rPr>
        <w:t>p.m</w:t>
      </w:r>
      <w:proofErr w:type="spellEnd"/>
      <w:r w:rsidR="00F1534E">
        <w:rPr>
          <w:sz w:val="24"/>
          <w:szCs w:val="24"/>
        </w:rPr>
        <w:t xml:space="preserve"> en Calle </w:t>
      </w:r>
      <w:proofErr w:type="spellStart"/>
      <w:r w:rsidR="00F1534E">
        <w:rPr>
          <w:sz w:val="24"/>
          <w:szCs w:val="24"/>
        </w:rPr>
        <w:t>Dean</w:t>
      </w:r>
      <w:proofErr w:type="spellEnd"/>
      <w:r w:rsidR="00F1534E">
        <w:rPr>
          <w:sz w:val="24"/>
          <w:szCs w:val="24"/>
        </w:rPr>
        <w:t xml:space="preserve"> Valdivia 148, San Isidro (mesa de partes </w:t>
      </w:r>
      <w:proofErr w:type="spellStart"/>
      <w:r w:rsidR="00F1534E">
        <w:rPr>
          <w:sz w:val="24"/>
          <w:szCs w:val="24"/>
        </w:rPr>
        <w:t>Quimtia</w:t>
      </w:r>
      <w:proofErr w:type="spellEnd"/>
      <w:r w:rsidR="00F1534E">
        <w:rPr>
          <w:sz w:val="24"/>
          <w:szCs w:val="24"/>
        </w:rPr>
        <w:t xml:space="preserve"> 1er piso). </w:t>
      </w:r>
      <w:r w:rsidRPr="00293DC3">
        <w:rPr>
          <w:sz w:val="24"/>
          <w:szCs w:val="24"/>
        </w:rPr>
        <w:t xml:space="preserve">El corte mensual son los días 25 de cada mes </w:t>
      </w:r>
      <w:proofErr w:type="spellStart"/>
      <w:r w:rsidRPr="00293DC3">
        <w:rPr>
          <w:sz w:val="24"/>
          <w:szCs w:val="24"/>
        </w:rPr>
        <w:t>reaperturándose</w:t>
      </w:r>
      <w:proofErr w:type="spellEnd"/>
      <w:r w:rsidRPr="00293DC3">
        <w:rPr>
          <w:sz w:val="24"/>
          <w:szCs w:val="24"/>
        </w:rPr>
        <w:t xml:space="preserve"> el primer día hábil del mes siguiente. Tomar en cuenta que las Notas de crédito solo serán </w:t>
      </w:r>
      <w:proofErr w:type="spellStart"/>
      <w:r w:rsidRPr="00293DC3">
        <w:rPr>
          <w:sz w:val="24"/>
          <w:szCs w:val="24"/>
        </w:rPr>
        <w:t>recepcionadas</w:t>
      </w:r>
      <w:proofErr w:type="spellEnd"/>
      <w:r w:rsidRPr="00293DC3">
        <w:rPr>
          <w:sz w:val="24"/>
          <w:szCs w:val="24"/>
        </w:rPr>
        <w:t xml:space="preserve"> en el mes de su emisión no aceptándose por ningún motivo notas de crédito emitidas con más de un mes de antigüedad.</w:t>
      </w:r>
    </w:p>
    <w:p w:rsidR="001C3035" w:rsidRPr="00E110ED" w:rsidRDefault="00E110ED" w:rsidP="00293DC3">
      <w:pPr>
        <w:rPr>
          <w:sz w:val="24"/>
        </w:rPr>
      </w:pPr>
      <w:r w:rsidRPr="00E110ED">
        <w:rPr>
          <w:b/>
          <w:sz w:val="28"/>
        </w:rPr>
        <w:t xml:space="preserve"> </w:t>
      </w:r>
    </w:p>
    <w:sectPr w:rsidR="001C3035" w:rsidRPr="00E110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B55"/>
    <w:multiLevelType w:val="hybridMultilevel"/>
    <w:tmpl w:val="49465A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4C1"/>
    <w:multiLevelType w:val="hybridMultilevel"/>
    <w:tmpl w:val="3E6E88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D1B01"/>
    <w:multiLevelType w:val="hybridMultilevel"/>
    <w:tmpl w:val="48E614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35"/>
    <w:rsid w:val="0005443F"/>
    <w:rsid w:val="001C3035"/>
    <w:rsid w:val="00293DC3"/>
    <w:rsid w:val="007A3884"/>
    <w:rsid w:val="00930B01"/>
    <w:rsid w:val="00E110ED"/>
    <w:rsid w:val="00E24D01"/>
    <w:rsid w:val="00F1534E"/>
    <w:rsid w:val="00F61EF5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F6101E-695B-40CB-90A4-94A33218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4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4D0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24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Espinoza</dc:creator>
  <cp:lastModifiedBy>SEBASTIAN  GOMEZ VIDAL</cp:lastModifiedBy>
  <cp:revision>2</cp:revision>
  <dcterms:created xsi:type="dcterms:W3CDTF">2020-06-25T21:42:00Z</dcterms:created>
  <dcterms:modified xsi:type="dcterms:W3CDTF">2020-06-25T21:42:00Z</dcterms:modified>
</cp:coreProperties>
</file>